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whit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1010112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rotation:0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</w:r>
    </w:p>
    <w:p>
      <w:pPr>
        <w:jc w:val="right"/>
        <w:spacing w:line="360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00.01.2025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</w:p>
    <w:p>
      <w:pPr>
        <w:jc w:val="center"/>
        <w:spacing w:line="360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Более 23 тысяч жителей самарского региона запретили сделки 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без личного участия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/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</w:p>
    <w:p>
      <w:pPr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  <w:t xml:space="preserve">За 2024 год в самарский Росреестр поступило более 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white"/>
        </w:rPr>
        <w:t xml:space="preserve">23 000</w: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  <w:t xml:space="preserve"> заявлений о запрете сделок без личного участия. </w: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  <w:t xml:space="preserve">Из них 6198 заявлений было подано через электронные ресурсы Росреестра, а 16 927 — в бумажном виде</w: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  <w:t xml:space="preserve">. 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</w:p>
    <w:p>
      <w:pPr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Напомним, 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что д</w: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  <w:t xml:space="preserve">ля внесения в ЕГРН записи о невозможности регистрац</w: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  <w:t xml:space="preserve">ии перехода, прекращения, ограничения права или обременения объекта недвижимости без личного участия собственника или его представителя необходимо подать соответствующее заявление. Это можно сделать онлайн посредством официального сайта </w: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  <w:t xml:space="preserve">Росреестр</w: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  <w:t xml:space="preserve">а, че</w: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  <w:t xml:space="preserve">рез личный кабинет </w: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  <w:t xml:space="preserve">Госуслуг</w: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  <w:t xml:space="preserve"> или лично при обращении в многофункциональный центр. Такие меры позволяют защитить права собственников и предотвратить незаконные сделки с недвижимостью.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  <w:t xml:space="preserve"> Собственники, своевременно подавшие заявление, могут</w: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  <w:t xml:space="preserve"> быть уверены в дополнительном уровне защиты своих прав. </w:t>
      </w:r>
      <w:r>
        <w:rPr>
          <w:rFonts w:ascii="Tinos" w:hAnsi="Tinos" w:eastAsia="Tinos" w:cs="Tinos"/>
          <w:color w:val="222222"/>
          <w:sz w:val="28"/>
          <w:szCs w:val="28"/>
          <w:highlight w:val="white"/>
          <w14:ligatures w14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white"/>
          <w14:ligatures w14:val="none"/>
        </w:rPr>
      </w:r>
    </w:p>
    <w:p>
      <w:pPr>
        <w:ind w:firstLine="708"/>
        <w:jc w:val="both"/>
        <w:spacing w:line="360" w:lineRule="auto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color w:val="222222"/>
          <w:sz w:val="28"/>
          <w:szCs w:val="28"/>
          <w:highlight w:val="white"/>
        </w:rPr>
        <w:t xml:space="preserve">Ранее мы рассказывали об алгоритме получения данной услуги. Ознакомиться с пошаговой инструкцией вы можете здесь: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none"/>
        </w:rPr>
      </w:r>
      <w:hyperlink r:id="rId9" w:tooltip="https://vk.com/albums-210717495?z=photo-210717495_457240247%2Fphotos-210717495" w:history="1">
        <w:r>
          <w:rPr>
            <w:rStyle w:val="812"/>
            <w:rFonts w:ascii="Tinos" w:hAnsi="Tinos" w:eastAsia="Tinos" w:cs="Tinos"/>
            <w:sz w:val="28"/>
            <w:szCs w:val="28"/>
            <w:highlight w:val="none"/>
          </w:rPr>
          <w:t xml:space="preserve">https://vk.com/albums-210717495?z=photo-210717495_457240247%2Fphotos-210717495</w:t>
        </w:r>
        <w:r>
          <w:rPr>
            <w:rStyle w:val="812"/>
            <w:rFonts w:ascii="Tinos" w:hAnsi="Tinos" w:eastAsia="Tinos" w:cs="Tinos"/>
            <w:sz w:val="28"/>
            <w:szCs w:val="28"/>
            <w:highlight w:val="none"/>
          </w:rPr>
        </w:r>
        <w:r>
          <w:rPr>
            <w:rStyle w:val="812"/>
            <w:rFonts w:ascii="Tinos" w:hAnsi="Tinos" w:eastAsia="Tinos" w:cs="Tinos"/>
            <w:sz w:val="28"/>
            <w:szCs w:val="28"/>
            <w:highlight w:val="none"/>
          </w:rPr>
        </w:r>
      </w:hyperlink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5917953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 подготовлен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Управлением </w:t>
      </w:r>
      <w:r>
        <w:rPr>
          <w:rFonts w:ascii="Times New Roman" w:hAnsi="Times New Roman" w:cs="Times New Roman"/>
        </w:rPr>
        <w:t xml:space="preserve">Росреестра по Самарской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spacing w:line="360" w:lineRule="auto"/>
        <w:rPr>
          <w:rFonts w:ascii="Tinos" w:hAnsi="Tinos" w:cs="Tinos"/>
          <w:sz w:val="28"/>
          <w:szCs w:val="28"/>
          <w:highlight w:val="whit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hyperlink" Target="https://vk.com/albums-210717495?z=photo-210717495_457240247%2Fphotos-210717495" TargetMode="External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2025-01-13T09:38:22Z</dcterms:modified>
</cp:coreProperties>
</file>